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DFA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附件2-3</w:t>
      </w:r>
    </w:p>
    <w:p w14:paraId="72E11E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2024年度新晃县林冲镇人民政府</w:t>
      </w:r>
      <w:r>
        <w:rPr>
          <w:rFonts w:hint="eastAsia" w:ascii="方正小标宋简体" w:hAnsi="方正小标宋简体" w:eastAsia="方正小标宋简体" w:cs="方正小标宋简体"/>
          <w:sz w:val="44"/>
          <w:szCs w:val="44"/>
          <w:lang w:eastAsia="zh-CN"/>
        </w:rPr>
        <w:t>村级日常</w:t>
      </w:r>
    </w:p>
    <w:p w14:paraId="569802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办公经费</w:t>
      </w:r>
      <w:r>
        <w:rPr>
          <w:rFonts w:hint="eastAsia" w:ascii="方正小标宋简体" w:hAnsi="方正小标宋简体" w:eastAsia="方正小标宋简体" w:cs="方正小标宋简体"/>
          <w:sz w:val="44"/>
          <w:szCs w:val="44"/>
        </w:rPr>
        <w:t>项目支出绩效自评报告</w:t>
      </w:r>
    </w:p>
    <w:p w14:paraId="52A2555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00639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根据《新晃侗族自治县财政局关于开展202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年度部门预算支出绩效自评工作的通知》（晃财绩〔202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要求，我镇对</w:t>
      </w:r>
      <w:r>
        <w:rPr>
          <w:rFonts w:hint="eastAsia" w:ascii="仿宋_GB2312" w:hAnsi="仿宋_GB2312" w:eastAsia="仿宋_GB2312" w:cs="仿宋_GB2312"/>
          <w:sz w:val="32"/>
          <w:szCs w:val="32"/>
          <w:lang w:eastAsia="zh-CN"/>
        </w:rPr>
        <w:t>村级日常办公经费</w:t>
      </w:r>
      <w:r>
        <w:rPr>
          <w:rFonts w:hint="eastAsia" w:ascii="仿宋_GB2312" w:hAnsi="仿宋_GB2312" w:eastAsia="仿宋_GB2312" w:cs="仿宋_GB2312"/>
          <w:sz w:val="32"/>
          <w:szCs w:val="32"/>
        </w:rPr>
        <w:t>项目进行了绩效自评，现报告如下：</w:t>
      </w:r>
    </w:p>
    <w:p w14:paraId="309CFE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一、基本情况</w:t>
      </w:r>
    </w:p>
    <w:p w14:paraId="33F5C0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14:paraId="041907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新晃侗族自治县林冲镇人口约为1.4万人。辖区有林冲村、宋阳、高坪、马王、唐家、地习、天堂、地甫、大堡、道丁10个村198个组，村干部44人，离任村干部111人。</w:t>
      </w:r>
      <w:r>
        <w:rPr>
          <w:rFonts w:hint="eastAsia" w:ascii="仿宋_GB2312" w:hAnsi="仿宋_GB2312" w:eastAsia="仿宋_GB2312" w:cs="仿宋_GB2312"/>
          <w:sz w:val="32"/>
          <w:szCs w:val="32"/>
          <w:lang w:eastAsia="zh-CN"/>
        </w:rPr>
        <w:t>村级日常办公经费项目实施主体为林冲镇人民政府，项目主要内容是2024年</w:t>
      </w:r>
      <w:r>
        <w:rPr>
          <w:rFonts w:hint="eastAsia" w:ascii="仿宋_GB2312" w:hAnsi="仿宋_GB2312" w:eastAsia="仿宋_GB2312" w:cs="仿宋_GB2312"/>
          <w:sz w:val="32"/>
          <w:szCs w:val="32"/>
          <w:lang w:val="en-US" w:eastAsia="zh-CN"/>
        </w:rPr>
        <w:t>10个</w:t>
      </w:r>
      <w:r>
        <w:rPr>
          <w:rFonts w:hint="eastAsia" w:ascii="仿宋_GB2312" w:hAnsi="仿宋_GB2312" w:eastAsia="仿宋_GB2312" w:cs="仿宋_GB2312"/>
          <w:sz w:val="32"/>
          <w:szCs w:val="32"/>
          <w:lang w:eastAsia="zh-CN"/>
        </w:rPr>
        <w:t>村的村级日常办公经费拨付。</w:t>
      </w:r>
    </w:p>
    <w:p w14:paraId="0CDD08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（二）项目绩效目标</w:t>
      </w:r>
    </w:p>
    <w:p w14:paraId="6D9790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总体</w:t>
      </w:r>
      <w:r>
        <w:rPr>
          <w:rFonts w:hint="eastAsia" w:ascii="仿宋_GB2312" w:hAnsi="仿宋_GB2312" w:eastAsia="仿宋_GB2312" w:cs="仿宋_GB2312"/>
          <w:sz w:val="32"/>
          <w:szCs w:val="32"/>
        </w:rPr>
        <w:t>目标</w:t>
      </w:r>
    </w:p>
    <w:p w14:paraId="2C479E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保障村级组织正常运转，按时按量按质完成上级交办的各项工作任务，改善村级组织办公环境，更好的服务群众，提高群众满意度。</w:t>
      </w:r>
    </w:p>
    <w:p w14:paraId="7AD486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阶段性目标</w:t>
      </w:r>
    </w:p>
    <w:p w14:paraId="470BC9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保障林冲镇村级日常办公经费正常发放。</w:t>
      </w:r>
    </w:p>
    <w:p w14:paraId="39ADDE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二、绩效评价工作开展情况</w:t>
      </w:r>
    </w:p>
    <w:p w14:paraId="53E2EA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1ED208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绩效评价目的</w:t>
      </w:r>
    </w:p>
    <w:p w14:paraId="5FDEF0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以保障</w:t>
      </w:r>
      <w:r>
        <w:rPr>
          <w:rFonts w:hint="eastAsia" w:ascii="仿宋_GB2312" w:hAnsi="仿宋_GB2312" w:eastAsia="仿宋_GB2312" w:cs="仿宋_GB2312"/>
          <w:sz w:val="32"/>
          <w:szCs w:val="32"/>
          <w:lang w:eastAsia="zh-CN"/>
        </w:rPr>
        <w:t>村级日常办公经费</w:t>
      </w:r>
      <w:r>
        <w:rPr>
          <w:rFonts w:hint="eastAsia" w:ascii="仿宋_GB2312" w:hAnsi="仿宋_GB2312" w:eastAsia="仿宋_GB2312" w:cs="仿宋_GB2312"/>
          <w:sz w:val="32"/>
          <w:szCs w:val="32"/>
        </w:rPr>
        <w:t>项目经费及时发放到位为评价目的，为核实、了解项目实施是否符合经批复的工作内容、绩效标准、支出规模等相关要求，防止项目功能缺失。通过计算、分析项目决策、过程、产出、效益情况，客观公正地反映项目财政实际使用和产出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为绩效管理提供决策参考及政策制定的依据。强化支出责任，建立科学合理的财政支出绩效评价管理体系，提高财政资金使用效益。</w:t>
      </w:r>
    </w:p>
    <w:p w14:paraId="583090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31C5FC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该项目绩效评价对象为202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村级日常办公经费</w:t>
      </w:r>
      <w:r>
        <w:rPr>
          <w:rFonts w:hint="eastAsia" w:ascii="仿宋_GB2312" w:hAnsi="仿宋_GB2312" w:eastAsia="仿宋_GB2312" w:cs="仿宋_GB2312"/>
          <w:sz w:val="32"/>
          <w:szCs w:val="32"/>
        </w:rPr>
        <w:t>项目经费使用情况和效果，具体为资金拨付、项目开展</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经费发放等目标是否完成。绩效评价范围为资金的使用是否规范，</w:t>
      </w:r>
      <w:r>
        <w:rPr>
          <w:rFonts w:hint="eastAsia" w:ascii="仿宋_GB2312" w:hAnsi="仿宋_GB2312" w:eastAsia="仿宋_GB2312" w:cs="仿宋_GB2312"/>
          <w:sz w:val="32"/>
          <w:szCs w:val="32"/>
          <w:lang w:eastAsia="zh-CN"/>
        </w:rPr>
        <w:t>村级日常办公经费</w:t>
      </w:r>
      <w:r>
        <w:rPr>
          <w:rFonts w:hint="eastAsia" w:ascii="仿宋_GB2312" w:hAnsi="仿宋_GB2312" w:eastAsia="仿宋_GB2312" w:cs="仿宋_GB2312"/>
          <w:sz w:val="32"/>
          <w:szCs w:val="32"/>
        </w:rPr>
        <w:t>项目经费是否发放到位。</w:t>
      </w:r>
    </w:p>
    <w:p w14:paraId="0C12CBB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绩效评价原则、评价指标体系、评价方法、评价标准</w:t>
      </w:r>
    </w:p>
    <w:p w14:paraId="66F623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绩效评价原则</w:t>
      </w:r>
    </w:p>
    <w:p w14:paraId="708270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绩效评价包含三个原则。一是</w:t>
      </w:r>
      <w:r>
        <w:rPr>
          <w:rFonts w:hint="eastAsia" w:ascii="仿宋_GB2312" w:hAnsi="仿宋_GB2312" w:eastAsia="仿宋_GB2312" w:cs="仿宋_GB2312"/>
          <w:sz w:val="32"/>
          <w:szCs w:val="32"/>
        </w:rPr>
        <w:t>科学规范原则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绩效评价注重财政支出的经济性、效率性和有效性，严格执行规定的程序，采用定量与定性分析相结合的方法</w:t>
      </w:r>
      <w:r>
        <w:rPr>
          <w:rFonts w:hint="eastAsia" w:ascii="仿宋_GB2312" w:hAnsi="仿宋_GB2312" w:eastAsia="仿宋_GB2312" w:cs="仿宋_GB2312"/>
          <w:sz w:val="32"/>
          <w:szCs w:val="32"/>
          <w:lang w:eastAsia="zh-CN"/>
        </w:rPr>
        <w:t>；二是合法合规原则，</w:t>
      </w:r>
      <w:r>
        <w:rPr>
          <w:rFonts w:hint="eastAsia" w:ascii="仿宋_GB2312" w:hAnsi="仿宋_GB2312" w:eastAsia="仿宋_GB2312" w:cs="仿宋_GB2312"/>
          <w:sz w:val="32"/>
          <w:szCs w:val="32"/>
        </w:rPr>
        <w:t>绩效评价应合法、合理、合情，绩效评定标准统一，依法公开并接受监督</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社会效益原则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绩效评价应具针对性，对项目产生的社会效益进行专门设计和评价，能更好的体现项目的属性。</w:t>
      </w:r>
    </w:p>
    <w:p w14:paraId="587273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绩效评价应当依据申请预算时提出的绩效目标及其他相关资料，包括但不限于财务资料、运行记录表格、有资质的独立第三方机构出具的合法文件等。</w:t>
      </w:r>
    </w:p>
    <w:p w14:paraId="3589FD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评价指标体系</w:t>
      </w:r>
    </w:p>
    <w:p w14:paraId="42CC54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有关规定，结合项目运行要求及项目工作绩效目标确定本次绩效评价指标体系的个性指标，本绩效评价指标总分</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100分，其中：项目预算及预期绩效目标编制水平10分、预算执行率10分、项目组织管理水平10分、资金支出合理合规10分、项目产出30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、项目效果20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、满意度10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w:t>
      </w:r>
    </w:p>
    <w:p w14:paraId="67A90F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评价方法</w:t>
      </w:r>
    </w:p>
    <w:p w14:paraId="7C569B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rPr>
        <w:t>综合权衡，本绩效评价方法确定为综合评价法。</w:t>
      </w:r>
    </w:p>
    <w:p w14:paraId="494071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4、评价</w:t>
      </w:r>
      <w:r>
        <w:rPr>
          <w:rFonts w:hint="eastAsia" w:ascii="仿宋_GB2312" w:hAnsi="仿宋_GB2312" w:eastAsia="仿宋_GB2312" w:cs="仿宋_GB2312"/>
          <w:sz w:val="32"/>
          <w:szCs w:val="32"/>
        </w:rPr>
        <w:t>标准</w:t>
      </w:r>
    </w:p>
    <w:p w14:paraId="01A633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本绩效评价标准参照《新晃侗族自治县财政局关于开展2024年度部门预算支出绩效自评工作的通知》（晃财绩〔2025〕1号）文件中“附件2-1 2024年度新晃县项目绩效自评计分标准”执行。</w:t>
      </w:r>
    </w:p>
    <w:p w14:paraId="39EE41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）绩效评价过程</w:t>
      </w:r>
    </w:p>
    <w:p w14:paraId="346E45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按照“谁支出、谁负责”、“谁使用、谁评价”的原则和单位内部职责分工，成立绩效评价自评工作小组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组织实施绩效自评工作。按照绩效评价工作方案及指标体系要求，提供相关文件和资料，并按要求开展自评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根据评价指标，汇总该项目评价总得分，总结其评价等级，最</w:t>
      </w:r>
      <w:r>
        <w:rPr>
          <w:rFonts w:hint="eastAsia" w:ascii="仿宋_GB2312" w:hAnsi="仿宋_GB2312" w:eastAsia="仿宋_GB2312" w:cs="仿宋_GB2312"/>
          <w:sz w:val="32"/>
          <w:szCs w:val="32"/>
          <w:lang w:eastAsia="zh-CN"/>
        </w:rPr>
        <w:t>终</w:t>
      </w:r>
      <w:r>
        <w:rPr>
          <w:rFonts w:hint="eastAsia" w:ascii="仿宋_GB2312" w:hAnsi="仿宋_GB2312" w:eastAsia="仿宋_GB2312" w:cs="仿宋_GB2312"/>
          <w:sz w:val="32"/>
          <w:szCs w:val="32"/>
        </w:rPr>
        <w:t>形成综合绩效评价报告</w:t>
      </w:r>
      <w:r>
        <w:rPr>
          <w:rFonts w:hint="eastAsia" w:ascii="仿宋_GB2312" w:hAnsi="仿宋_GB2312" w:eastAsia="仿宋_GB2312" w:cs="仿宋_GB2312"/>
          <w:sz w:val="32"/>
          <w:szCs w:val="32"/>
          <w:lang w:eastAsia="zh-CN"/>
        </w:rPr>
        <w:t>。</w:t>
      </w:r>
    </w:p>
    <w:p w14:paraId="686A57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三、综合评价情况及评价结论</w:t>
      </w:r>
    </w:p>
    <w:p w14:paraId="39BAF4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村级日常办公经费</w:t>
      </w:r>
      <w:r>
        <w:rPr>
          <w:rFonts w:hint="eastAsia" w:ascii="仿宋_GB2312" w:hAnsi="仿宋_GB2312" w:eastAsia="仿宋_GB2312" w:cs="仿宋_GB2312"/>
          <w:sz w:val="32"/>
          <w:szCs w:val="32"/>
        </w:rPr>
        <w:t>项目在预算申报、预算审核、预算执行、项目管理、项目产出和效益的完成情况方面总体执行情况较好，设立了明确、细化、量化的绩效目标，在投入依据及投入程序上符合相关规定；配备相关业务管理人员，并建立了相关实施细则，项目资金能及时足额到账，履行相应承诺，取得较好的社会效益。项目绩效自评分为</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分，等级为优秀。</w:t>
      </w:r>
    </w:p>
    <w:p w14:paraId="79AB17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四、绩效评价指标分析</w:t>
      </w:r>
    </w:p>
    <w:p w14:paraId="473E9F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592BF3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该项目立项符合法律法规、相关政策、发展规划以及部门职责，项目申请、设立过程符合相关要求。项目绩效目标明确，绩效指标清晰。</w:t>
      </w:r>
    </w:p>
    <w:p w14:paraId="495E5B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村级日常办公经费支出项目采取授权支付形式，由财政所年初拟定用款计划，严格按照项目资金管理办法分期对资金进行计划申请、划拨、使用，及时</w:t>
      </w:r>
      <w:r>
        <w:rPr>
          <w:rFonts w:hint="eastAsia" w:ascii="仿宋_GB2312" w:hAnsi="仿宋_GB2312" w:eastAsia="仿宋_GB2312" w:cs="仿宋_GB2312"/>
          <w:sz w:val="32"/>
          <w:szCs w:val="32"/>
          <w:lang w:eastAsia="zh-CN"/>
        </w:rPr>
        <w:t>地</w:t>
      </w:r>
      <w:r>
        <w:rPr>
          <w:rFonts w:hint="eastAsia" w:ascii="仿宋_GB2312" w:hAnsi="仿宋_GB2312" w:eastAsia="仿宋_GB2312" w:cs="仿宋_GB2312"/>
          <w:sz w:val="32"/>
          <w:szCs w:val="32"/>
        </w:rPr>
        <w:t>、规范地对收支进行账务处理和会计核算。</w:t>
      </w:r>
    </w:p>
    <w:p w14:paraId="5A757E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项目过程情况</w:t>
      </w:r>
    </w:p>
    <w:p w14:paraId="350C8D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过程包含三个阶段。一是分配阶段，由县财政局根据乡镇村组数定额分配资金；二是确认阶段，乡镇财政所根据年初分配金额开展预算编制工作，确保资金足额到位；三是发放阶段，当预算编制工作完成后，由县财政局统一拨款。</w:t>
      </w:r>
    </w:p>
    <w:p w14:paraId="7285A3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01BFEB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村级日常办公经费</w:t>
      </w:r>
      <w:r>
        <w:rPr>
          <w:rFonts w:hint="eastAsia" w:ascii="仿宋_GB2312" w:hAnsi="仿宋_GB2312" w:eastAsia="仿宋_GB2312" w:cs="仿宋_GB2312"/>
          <w:sz w:val="32"/>
          <w:szCs w:val="32"/>
        </w:rPr>
        <w:t>项目根据上级要求及时进行拨付，</w:t>
      </w:r>
      <w:r>
        <w:rPr>
          <w:rFonts w:hint="eastAsia" w:ascii="仿宋_GB2312" w:hAnsi="仿宋_GB2312" w:eastAsia="仿宋_GB2312" w:cs="仿宋_GB2312"/>
          <w:sz w:val="32"/>
          <w:szCs w:val="32"/>
          <w:lang w:eastAsia="zh-CN"/>
        </w:rPr>
        <w:t>确保</w:t>
      </w:r>
      <w:r>
        <w:rPr>
          <w:rFonts w:hint="eastAsia" w:ascii="仿宋_GB2312" w:hAnsi="仿宋_GB2312" w:eastAsia="仿宋_GB2312" w:cs="仿宋_GB2312"/>
          <w:sz w:val="32"/>
          <w:szCs w:val="32"/>
        </w:rPr>
        <w:t>各村日常办公经费</w:t>
      </w:r>
      <w:r>
        <w:rPr>
          <w:rFonts w:hint="eastAsia" w:ascii="仿宋_GB2312" w:hAnsi="仿宋_GB2312" w:eastAsia="仿宋_GB2312" w:cs="仿宋_GB2312"/>
          <w:sz w:val="32"/>
          <w:szCs w:val="32"/>
          <w:lang w:eastAsia="zh-CN"/>
        </w:rPr>
        <w:t>不低于</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0000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发放覆盖率</w:t>
      </w:r>
      <w:r>
        <w:rPr>
          <w:rFonts w:hint="eastAsia" w:ascii="仿宋_GB2312" w:hAnsi="仿宋_GB2312" w:eastAsia="仿宋_GB2312" w:cs="仿宋_GB2312"/>
          <w:sz w:val="32"/>
          <w:szCs w:val="32"/>
          <w:lang w:eastAsia="zh-CN"/>
        </w:rPr>
        <w:t>达</w:t>
      </w:r>
      <w:r>
        <w:rPr>
          <w:rFonts w:hint="eastAsia" w:ascii="仿宋_GB2312" w:hAnsi="仿宋_GB2312" w:eastAsia="仿宋_GB2312" w:cs="仿宋_GB2312"/>
          <w:sz w:val="32"/>
          <w:szCs w:val="32"/>
        </w:rPr>
        <w:t>100%。202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年县级安排</w:t>
      </w:r>
      <w:r>
        <w:rPr>
          <w:rFonts w:hint="eastAsia" w:ascii="仿宋_GB2312" w:hAnsi="仿宋_GB2312" w:eastAsia="仿宋_GB2312" w:cs="仿宋_GB2312"/>
          <w:sz w:val="32"/>
          <w:szCs w:val="32"/>
          <w:lang w:eastAsia="zh-CN"/>
        </w:rPr>
        <w:t>村级日常办公经费</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lang w:val="en-US" w:eastAsia="zh-CN"/>
        </w:rPr>
        <w:t>322540</w:t>
      </w:r>
      <w:r>
        <w:rPr>
          <w:rFonts w:hint="eastAsia" w:ascii="仿宋_GB2312" w:hAnsi="仿宋_GB2312" w:eastAsia="仿宋_GB2312" w:cs="仿宋_GB2312"/>
          <w:sz w:val="32"/>
          <w:szCs w:val="32"/>
        </w:rPr>
        <w:t>元，截至年底拨付</w:t>
      </w:r>
      <w:r>
        <w:rPr>
          <w:rFonts w:hint="eastAsia" w:ascii="仿宋_GB2312" w:hAnsi="仿宋_GB2312" w:eastAsia="仿宋_GB2312" w:cs="仿宋_GB2312"/>
          <w:sz w:val="32"/>
          <w:szCs w:val="32"/>
          <w:lang w:val="en-US" w:eastAsia="zh-CN"/>
        </w:rPr>
        <w:t>305188</w:t>
      </w:r>
      <w:r>
        <w:rPr>
          <w:rFonts w:hint="eastAsia" w:ascii="仿宋_GB2312" w:hAnsi="仿宋_GB2312" w:eastAsia="仿宋_GB2312" w:cs="仿宋_GB2312"/>
          <w:sz w:val="32"/>
          <w:szCs w:val="32"/>
        </w:rPr>
        <w:t>元，预算</w:t>
      </w:r>
      <w:r>
        <w:rPr>
          <w:rFonts w:hint="eastAsia" w:ascii="仿宋_GB2312" w:hAnsi="仿宋_GB2312" w:eastAsia="仿宋_GB2312" w:cs="仿宋_GB2312"/>
          <w:sz w:val="32"/>
          <w:szCs w:val="32"/>
          <w:lang w:eastAsia="zh-CN"/>
        </w:rPr>
        <w:t>执行率</w:t>
      </w:r>
      <w:r>
        <w:rPr>
          <w:rFonts w:hint="eastAsia" w:ascii="仿宋_GB2312" w:hAnsi="仿宋_GB2312" w:eastAsia="仿宋_GB2312" w:cs="仿宋_GB2312"/>
          <w:sz w:val="32"/>
          <w:szCs w:val="32"/>
          <w:lang w:val="en-US" w:eastAsia="zh-CN"/>
        </w:rPr>
        <w:t>94.62%</w:t>
      </w:r>
      <w:r>
        <w:rPr>
          <w:rFonts w:hint="eastAsia" w:ascii="仿宋_GB2312" w:hAnsi="仿宋_GB2312" w:eastAsia="仿宋_GB2312" w:cs="仿宋_GB2312"/>
          <w:sz w:val="32"/>
          <w:szCs w:val="32"/>
        </w:rPr>
        <w:t>。</w:t>
      </w:r>
    </w:p>
    <w:p w14:paraId="384F8C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w:t>
      </w:r>
    </w:p>
    <w:p w14:paraId="57B67C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作为村级运转经费的</w:t>
      </w:r>
      <w:r>
        <w:rPr>
          <w:rFonts w:hint="eastAsia" w:ascii="仿宋_GB2312" w:hAnsi="仿宋_GB2312" w:eastAsia="仿宋_GB2312" w:cs="仿宋_GB2312"/>
          <w:sz w:val="32"/>
          <w:szCs w:val="32"/>
          <w:lang w:eastAsia="zh-CN"/>
        </w:rPr>
        <w:t>重</w:t>
      </w:r>
      <w:r>
        <w:rPr>
          <w:rFonts w:hint="eastAsia" w:ascii="仿宋_GB2312" w:hAnsi="仿宋_GB2312" w:eastAsia="仿宋_GB2312" w:cs="仿宋_GB2312"/>
          <w:sz w:val="32"/>
          <w:szCs w:val="32"/>
        </w:rPr>
        <w:t>要</w:t>
      </w:r>
      <w:bookmarkStart w:id="0" w:name="_GoBack"/>
      <w:bookmarkEnd w:id="0"/>
      <w:r>
        <w:rPr>
          <w:rFonts w:hint="eastAsia" w:ascii="仿宋_GB2312" w:hAnsi="仿宋_GB2312" w:eastAsia="仿宋_GB2312" w:cs="仿宋_GB2312"/>
          <w:sz w:val="32"/>
          <w:szCs w:val="32"/>
          <w:lang w:eastAsia="zh-CN"/>
        </w:rPr>
        <w:t>组</w:t>
      </w:r>
      <w:r>
        <w:rPr>
          <w:rFonts w:hint="eastAsia" w:ascii="仿宋_GB2312" w:hAnsi="仿宋_GB2312" w:eastAsia="仿宋_GB2312" w:cs="仿宋_GB2312"/>
          <w:sz w:val="32"/>
          <w:szCs w:val="32"/>
        </w:rPr>
        <w:t>成部分，</w:t>
      </w:r>
      <w:r>
        <w:rPr>
          <w:rFonts w:hint="eastAsia" w:ascii="仿宋_GB2312" w:hAnsi="仿宋_GB2312" w:eastAsia="仿宋_GB2312" w:cs="仿宋_GB2312"/>
          <w:sz w:val="32"/>
          <w:szCs w:val="32"/>
          <w:lang w:eastAsia="zh-CN"/>
        </w:rPr>
        <w:t>村级日常办公经费</w:t>
      </w:r>
      <w:r>
        <w:rPr>
          <w:rFonts w:hint="eastAsia" w:ascii="仿宋_GB2312" w:hAnsi="仿宋_GB2312" w:eastAsia="仿宋_GB2312" w:cs="仿宋_GB2312"/>
          <w:sz w:val="32"/>
          <w:szCs w:val="32"/>
        </w:rPr>
        <w:t>保质保量</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发放</w:t>
      </w:r>
      <w:r>
        <w:rPr>
          <w:rFonts w:hint="eastAsia" w:ascii="仿宋_GB2312" w:hAnsi="仿宋_GB2312" w:eastAsia="仿宋_GB2312" w:cs="仿宋_GB2312"/>
          <w:sz w:val="32"/>
          <w:szCs w:val="32"/>
          <w:lang w:eastAsia="zh-CN"/>
        </w:rPr>
        <w:t>保障了</w:t>
      </w:r>
      <w:r>
        <w:rPr>
          <w:rFonts w:hint="eastAsia" w:ascii="仿宋_GB2312" w:hAnsi="仿宋_GB2312" w:eastAsia="仿宋_GB2312" w:cs="仿宋_GB2312"/>
          <w:sz w:val="32"/>
          <w:szCs w:val="32"/>
        </w:rPr>
        <w:t>村</w:t>
      </w:r>
      <w:r>
        <w:rPr>
          <w:rFonts w:hint="eastAsia" w:ascii="仿宋_GB2312" w:hAnsi="仿宋_GB2312" w:eastAsia="仿宋_GB2312" w:cs="仿宋_GB2312"/>
          <w:sz w:val="32"/>
          <w:szCs w:val="32"/>
          <w:lang w:eastAsia="zh-CN"/>
        </w:rPr>
        <w:t>委会的</w:t>
      </w:r>
      <w:r>
        <w:rPr>
          <w:rFonts w:hint="eastAsia" w:ascii="仿宋_GB2312" w:hAnsi="仿宋_GB2312" w:eastAsia="仿宋_GB2312" w:cs="仿宋_GB2312"/>
          <w:sz w:val="32"/>
          <w:szCs w:val="32"/>
        </w:rPr>
        <w:t>正常运行，提高了村委会的工作效率，为各村</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工作提供了资金支持。</w:t>
      </w:r>
    </w:p>
    <w:p w14:paraId="6A222C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五、主要经验及做法、存在的问题及原因分析</w:t>
      </w:r>
    </w:p>
    <w:p w14:paraId="0E52BFB1">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 w:hAnsi="仿宋" w:eastAsia="仿宋" w:cs="仿宋"/>
          <w:sz w:val="32"/>
          <w:szCs w:val="32"/>
          <w:lang w:val="en-US" w:eastAsia="zh-CN" w:bidi="ar-SA"/>
        </w:rPr>
        <w:t>在资金使用过程中，规范监管流程，认真核对发放明细，收到上级通知能及时发放到位。</w:t>
      </w:r>
      <w:r>
        <w:rPr>
          <w:rFonts w:hint="eastAsia" w:ascii="仿宋_GB2312" w:hAnsi="仿宋_GB2312" w:eastAsia="仿宋_GB2312" w:cs="仿宋_GB2312"/>
          <w:sz w:val="32"/>
          <w:szCs w:val="32"/>
        </w:rPr>
        <w:t> </w:t>
      </w:r>
    </w:p>
    <w:p w14:paraId="4ACDA8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六、有关建议</w:t>
      </w:r>
    </w:p>
    <w:p w14:paraId="25E67A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完善工作制度，形成合力。开展此项工作以来，我镇在工作中不断探索，不断总结工作经验，严格按照工作要求拨付经费，进一步健全和完善财务制度及配套措施，统筹安排，各尽其责，形成工作合力。</w:t>
      </w:r>
    </w:p>
    <w:p w14:paraId="0A8FFF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强化监督检查，严肃纪律。进一步</w:t>
      </w:r>
      <w:r>
        <w:rPr>
          <w:rFonts w:hint="eastAsia" w:ascii="仿宋_GB2312" w:hAnsi="仿宋_GB2312" w:eastAsia="仿宋_GB2312" w:cs="仿宋_GB2312"/>
          <w:sz w:val="32"/>
          <w:szCs w:val="32"/>
          <w:lang w:eastAsia="zh-CN"/>
        </w:rPr>
        <w:t>加强村级日常办公经费</w:t>
      </w:r>
      <w:r>
        <w:rPr>
          <w:rFonts w:hint="eastAsia" w:ascii="仿宋_GB2312" w:hAnsi="仿宋_GB2312" w:eastAsia="仿宋_GB2312" w:cs="仿宋_GB2312"/>
          <w:sz w:val="32"/>
          <w:szCs w:val="32"/>
        </w:rPr>
        <w:t>项目资金支出管理制度，增强预算支出透明度，做到节约使用每一分资金，无铺张浪费现象。</w:t>
      </w:r>
    </w:p>
    <w:p w14:paraId="30E6DD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七、其他需要说明的问题</w:t>
      </w:r>
    </w:p>
    <w:p w14:paraId="7C98EF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709EC7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专此报告</w:t>
      </w:r>
    </w:p>
    <w:p w14:paraId="57F7EC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3B63D2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72FCFC28">
      <w:pPr>
        <w:keepNext w:val="0"/>
        <w:keepLines w:val="0"/>
        <w:pageBreakBefore w:val="0"/>
        <w:widowControl w:val="0"/>
        <w:kinsoku/>
        <w:wordWrap/>
        <w:overflowPunct/>
        <w:topLinePunct w:val="0"/>
        <w:autoSpaceDE/>
        <w:autoSpaceDN/>
        <w:bidi w:val="0"/>
        <w:adjustRightInd/>
        <w:snapToGrid/>
        <w:spacing w:line="560" w:lineRule="exact"/>
        <w:ind w:firstLine="3520" w:firstLineChars="11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新晃侗族自治县林冲镇人民政府</w:t>
      </w:r>
    </w:p>
    <w:p w14:paraId="321F4CA3">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A7FA8FD"/>
    <w:rsid w:val="05FF6B42"/>
    <w:rsid w:val="0E7E216A"/>
    <w:rsid w:val="0FEF933F"/>
    <w:rsid w:val="33DE7A85"/>
    <w:rsid w:val="66EE9956"/>
    <w:rsid w:val="6FFD085F"/>
    <w:rsid w:val="7CF5345E"/>
    <w:rsid w:val="7DB778AA"/>
    <w:rsid w:val="7FBE63AD"/>
    <w:rsid w:val="7FFBD343"/>
    <w:rsid w:val="7FFF9390"/>
    <w:rsid w:val="B5BF9A5F"/>
    <w:rsid w:val="CEFD11E8"/>
    <w:rsid w:val="D7BB3A7D"/>
    <w:rsid w:val="DF391038"/>
    <w:rsid w:val="E7FFCD1E"/>
    <w:rsid w:val="ECD7A289"/>
    <w:rsid w:val="EFDBD128"/>
    <w:rsid w:val="F3FE9C06"/>
    <w:rsid w:val="F7F64AB2"/>
    <w:rsid w:val="FA7FA8FD"/>
    <w:rsid w:val="FDD78A21"/>
    <w:rsid w:val="FE7BD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2025-03-29T18:56:00Z</dcterms:created>
  <dc:creator>WPS_1599442975</dc:creator>
  <cp:lastModifiedBy>WPS_1599442975</cp:lastModifiedBy>
  <dcterms:modified xsi:type="dcterms:W3CDTF">2025-03-29T22:36:55Z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4CF7CFE544A6FF70E42EE5671DDD035B_41</vt:lpwstr>
  </property>
</Properties>
</file>